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8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10"/>
        <w:gridCol w:w="12650"/>
        <w:gridCol w:w="781"/>
        <w:gridCol w:w="782"/>
        <w:gridCol w:w="781"/>
        <w:gridCol w:w="782"/>
        <w:gridCol w:w="781"/>
        <w:gridCol w:w="782"/>
        <w:gridCol w:w="6"/>
      </w:tblGrid>
      <w:tr w:rsidR="000F7281" w:rsidRPr="000F7281" w:rsidTr="000F7281">
        <w:trPr>
          <w:gridAfter w:val="1"/>
          <w:wAfter w:w="6" w:type="dxa"/>
          <w:trHeight w:val="3400"/>
        </w:trPr>
        <w:tc>
          <w:tcPr>
            <w:tcW w:w="13963" w:type="dxa"/>
            <w:gridSpan w:val="2"/>
            <w:shd w:val="clear" w:color="auto" w:fill="auto"/>
            <w:hideMark/>
          </w:tcPr>
          <w:p w:rsidR="000F7281" w:rsidRPr="000F7281" w:rsidRDefault="000F7281" w:rsidP="000F7281">
            <w:pPr>
              <w:spacing w:after="36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PR"/>
              </w:rPr>
              <w:t>Herramienta de Alineación Curricular - Resumen a través de las unidades</w:t>
            </w: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PR"/>
              </w:rPr>
              <w:br/>
              <w:t>Departamento de Educación de Puerto Rico</w:t>
            </w: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PR"/>
              </w:rPr>
              <w:br/>
              <w:t>Adquisición de la Lengua - Español</w:t>
            </w: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PR"/>
              </w:rPr>
              <w:br/>
              <w:t>Segundo  Grado</w:t>
            </w:r>
          </w:p>
        </w:tc>
        <w:tc>
          <w:tcPr>
            <w:tcW w:w="781" w:type="dxa"/>
            <w:shd w:val="clear" w:color="000000" w:fill="F2F2F2"/>
            <w:textDirection w:val="tbRl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t xml:space="preserve">Unidad 2.1 </w:t>
            </w: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br/>
              <w:t>Todos somos uno</w:t>
            </w:r>
          </w:p>
        </w:tc>
        <w:tc>
          <w:tcPr>
            <w:tcW w:w="781" w:type="dxa"/>
            <w:shd w:val="clear" w:color="auto" w:fill="auto"/>
            <w:textDirection w:val="tbRl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t xml:space="preserve">Unidad 2.2 </w:t>
            </w: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br/>
              <w:t>Descubriendo mi comunidad</w:t>
            </w:r>
          </w:p>
        </w:tc>
        <w:tc>
          <w:tcPr>
            <w:tcW w:w="781" w:type="dxa"/>
            <w:shd w:val="clear" w:color="000000" w:fill="F2F2F2"/>
            <w:textDirection w:val="tbRl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t xml:space="preserve">Unidad 2.3 </w:t>
            </w: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br/>
              <w:t>Celebrando nuestra cultura</w:t>
            </w:r>
          </w:p>
        </w:tc>
        <w:tc>
          <w:tcPr>
            <w:tcW w:w="781" w:type="dxa"/>
            <w:shd w:val="clear" w:color="auto" w:fill="auto"/>
            <w:textDirection w:val="tbRl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t xml:space="preserve">Unidad 2.4 </w:t>
            </w: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br/>
              <w:t>Le canto a mi país</w:t>
            </w:r>
          </w:p>
        </w:tc>
        <w:tc>
          <w:tcPr>
            <w:tcW w:w="781" w:type="dxa"/>
            <w:shd w:val="clear" w:color="000000" w:fill="F2F2F2"/>
            <w:textDirection w:val="tbRl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t>Unidad 2.5</w:t>
            </w: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br/>
              <w:t>Planifico y tomo decisiones económicas</w:t>
            </w:r>
          </w:p>
        </w:tc>
        <w:tc>
          <w:tcPr>
            <w:tcW w:w="781" w:type="dxa"/>
            <w:shd w:val="clear" w:color="auto" w:fill="auto"/>
            <w:textDirection w:val="tbRl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PR"/>
              </w:rPr>
              <w:t xml:space="preserve">Unidad 2.6 </w:t>
            </w: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PR"/>
              </w:rPr>
              <w:br/>
              <w:t>La diversidad en mi ambiente</w:t>
            </w:r>
          </w:p>
        </w:tc>
      </w:tr>
      <w:tr w:rsidR="000F7281" w:rsidRPr="000F7281" w:rsidTr="000F7281">
        <w:trPr>
          <w:trHeight w:val="379"/>
        </w:trPr>
        <w:tc>
          <w:tcPr>
            <w:tcW w:w="1310" w:type="dxa"/>
            <w:shd w:val="clear" w:color="000000" w:fill="BFBFBF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BFBFBF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>La comprensión auditiva y expresión oral</w:t>
            </w:r>
          </w:p>
        </w:tc>
      </w:tr>
      <w:tr w:rsidR="000F7281" w:rsidRPr="000F7281" w:rsidTr="000F7281">
        <w:trPr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Comprensión y colaboración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2.AO.CC.1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Participa en conversaciones sobre temas y textos relacionados al grado con sus compañeros y adultos (en parejas o en grupos).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2.AO.CC.1a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Sigue las reglas de una conversación, inclusive hablar de forma respetuosa, escuchar atentamente mediante contacto visual, esperar su turno para hablar y mantenerse dentro del tema.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2.AO.CC.1b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Participa como colaborador y líder en un grupo, obtiene información y opiniones de los otros.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2.AO.CC.1c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Añade comentarios a las conversaciones de sus pares o grupos.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2.AO.CC.2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Comenta y describe ideas y detalles clave de textos leídos en voz alta o información presentada oralmente o a través de otros medios.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2.AO.CC.2a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Solicita aclaración sobre lo que no entendió.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2.AO.CC.3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Pregunta y responde a comentarios de otros para buscar información adicional, clarificar y obtener conocimiento más profundo del tema.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2.AO.CC.3a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Determina si lo que se dijo es real o imaginario.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2.AO.CC.4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Comunica ideas, sentimientos, emociones y puntos de vista de manera apropiada y cortés, utilizando diversas formas de expresión como diálogos, narrativas y descripciones. Sigue instrucciones de varios pasos.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Presentación del conocimiento e ideas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2.AO.PC.5</w:t>
            </w:r>
          </w:p>
        </w:tc>
        <w:tc>
          <w:tcPr>
            <w:tcW w:w="12653" w:type="dxa"/>
            <w:shd w:val="clear" w:color="auto" w:fill="auto"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adecuadamente el lenguaje para contar una historia o narrar una experiencia; describe, compara y contrasta personas, lugares, cosas y eventos; ofrece detalles y hechos relevantes adicionales.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2.AO.PC.6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Crea y narra cuentos o poemas para compartir con otros; añade dibujos u otras imágenes visuales para aclarar ideas, pensamientos o sentimientos. 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2.AO.PC.7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Habla de forma audible con oraciones coherentes para contar experiencias con los datos y detalles descriptivos apropiados y relevantes.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lastRenderedPageBreak/>
              <w:t>2.AO.PC.7a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Expresa ideas con fluidez, claridad, precisión y entonación apropiada, según el ambiente y la situación social.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2.AO.PC.7b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el lenguaje oral con diversos propósitos: informar, describir, entretener, clarificar y responder.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2.AO.PC.8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Utiliza la comunicación y lenguaje no verbal pertinente como gestos, postura y movimientos corporales.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trHeight w:val="379"/>
        </w:trPr>
        <w:tc>
          <w:tcPr>
            <w:tcW w:w="1310" w:type="dxa"/>
            <w:shd w:val="clear" w:color="000000" w:fill="BFBFBF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BFBFBF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>Las destrezas fundamentales de la lectura</w:t>
            </w:r>
          </w:p>
        </w:tc>
      </w:tr>
      <w:tr w:rsidR="000F7281" w:rsidRPr="000F7281" w:rsidTr="000F7281">
        <w:trPr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Conceptos de textos impresos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2.LF.CTI.1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(No se atienden en segundo grado).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Conciencia fonológica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2.LF.CF.2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Demuestra comprensión de palabras habladas, sílabas y sonidos (fonemas).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2.LF.CF.2a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Distingue los diferentes sonidos que hacen distintas combinaciones de sílabas directas.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2.LF.CF.2b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Pronuncia oralmente palabras de una sola sílaba al unir los sonidos (fonemas), inclusive unir las consonantes (tres, gris, las, mar, sal).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2.LF.CF.2c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Aísla y pronuncia los sonidos vocálicos y consonánticos, iniciales, centrales y finales (fonemas) en palabras de una sola sílaba.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2.LF.CF.2d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Segmenta palabras de una sola sílaba en sus secuencias completas de sonidos individuales (fonemas).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2.LF.CF.2e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Divide palabras bisílabas CVCV en las sílabas que las componen (por ejemplo: me-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sa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,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ca-ma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,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ca-sa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, pe-ro,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ga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-to).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2.LF.CF.2f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Distingue oralmente los sonidos de vocales que forman diptongos en una sola sílaba (auto, lluvia, agua, aire, ciudad).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2.LF.CF.2h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Reconoce que una sílaba puede consistir de una sola vocal (a-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mo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; mí-o;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dí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-a; vi-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ví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-a; a-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brí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-a; o-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jo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; u-ña; e-so).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Fonética y reconocimiento de palabras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2.LF.FRP.3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Conoce y aplica conocimientos fonéticos y destrezas de análisis de palabras al nivel de su grado.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2.LF.FRP.3a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Distingue los sonidos de las vocales y de los diptongos al leer palabras de una sílaba de ortografía regular (dio, pie, bien).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2.LF.FRP.3b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Distingue los sonidos de las vocales en los triptongos al leer palabras ya conocidas (buey, Paraguay, Uruguay) fijándose en el uso de la ye (y) como vocal.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2.LF.FRP.3c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Decodifica palabras multisilábicas.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2.LF.FRP.3d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Decodifica palabras con prefijos y sufijos comunes.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2.LF.FRP.3e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Identifica palabras de ortografía dudosa (b-v; c-s-z-x; c-k-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qu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; g-j; y-ll; r-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rr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; m-n) a nivel del grado.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2.LF.FRP.3f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Reconoce y lee a nivel del grado palabras con h (que es siempre muda, excepto en el dígrafo ch) o con u (que es muda en las sílabas que,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qui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,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gue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,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gui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2.LF.FRP.3g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Identifica la última, penúltima y antepenúltima sílaba en palabras multisilábicas y reconoce en cuál sílaba está el acento tónico.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 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2.LF.FRP.3h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Clasifica palabras de acuerdo con su acento tónico en categorías de aguda, llana y esdrújula para aplicar las reglas ortográficas.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2.LF.FRP.3i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Reconoce y utiliza el acento escrito para distinguir que hay hiato y no diptongo en palabras conocidas (María, baúl, maíz).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lastRenderedPageBreak/>
              <w:t> </w:t>
            </w:r>
          </w:p>
        </w:tc>
        <w:tc>
          <w:tcPr>
            <w:tcW w:w="17345" w:type="dxa"/>
            <w:gridSpan w:val="8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Fluidez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2.LF.F.4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Lee con exactitud y fluidez para apoyar la comprensión.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2.LF.F.4a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Lee textos al nivel de su grado con propósito y comprensión.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2.LF.F.4b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Lee textos independientemente, con entonación, fluidez (80-120 palabras por minuto) al nivel del grado.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2.LF.F.4c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el contexto para confirmar y autocorregir el reconocimiento y comprensión de las palabras y relee de ser necesario.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trHeight w:val="379"/>
        </w:trPr>
        <w:tc>
          <w:tcPr>
            <w:tcW w:w="1310" w:type="dxa"/>
            <w:shd w:val="clear" w:color="000000" w:fill="BFBFBF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BFBFBF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>Lectura de textos literarios</w:t>
            </w:r>
          </w:p>
        </w:tc>
      </w:tr>
      <w:tr w:rsidR="000F7281" w:rsidRPr="000F7281" w:rsidTr="000F7281">
        <w:trPr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Ideas claves y detalles</w:t>
            </w:r>
          </w:p>
        </w:tc>
      </w:tr>
      <w:tr w:rsidR="000F7281" w:rsidRPr="000F7281" w:rsidTr="000F7281">
        <w:trPr>
          <w:gridAfter w:val="1"/>
          <w:wAfter w:w="6" w:type="dxa"/>
          <w:trHeight w:val="910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2.LL.ICD.1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estrategias de automonitoreo (por ejemplo: releer, usar pistas visuales, autocorrección, hacer y responder preguntas cómo, quién, qué, dónde, por qué para hacer y confirmar predicciones) para demostrar comprensión de los detalles claves del texto.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FF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2.LL.ICD.2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Parafrasea la secuencia de eventos, ideas centrales y detalles en diversos tipos de cuentos, como fábulas y cuentos folclóricos de diferentes culturas y demuestra comprensión del mensaje central o la lección del cuento.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2.LL.ICD.3a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Interpreta y describe elementos literarios (por ejemplo: las intenciones o sentimientos de los personajes, eventos claves, problemas o soluciones).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2.LL.ICD.3b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detalles claves para describir cómo los personajes de un cuento responden a los eventos principales y los retos.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Técnica y estructura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2.LL.TE.4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Describe cómo las características de los textos literarios, como la poesía influyen en el significado del mismo (por ejemplo: ritmo, aliteración, rima, repetición).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2.LL.TE.5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Identifica la estructura general y las características de los textos literarios (sigue una trama, cronología de eventos), incluye cómo el comienzo introduce el cuento y el fin concluye la acción.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2.LL.TE.6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Dramatiza historias conocidas (por ejemplo: obras y representaciones teatrales, lecturas dramatizadas), reconociendo la diferencia entre el punto de vista de los personajes al representar diferentes voces.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Integración del conocimiento e ideas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2.LL.ICI.7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ilustraciones y palabras en historias impresas o digitales para demostrar comprensión de los personajes, el lugar y la trama.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2.LL.ICI.8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(No aplica a literatura).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2.LL.ICI.9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Explica semejanzas y diferencias entre dos o más versiones de la misma historia (por ejemplo: La Cenicienta) escritas por autores diferentes o de diferentes culturas.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2.LL.ICI.10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Aplica el conocimiento literario adquirido como una base para la comprensión y la exploración adicional del lenguaje propio, la cultura y el país.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2653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 xml:space="preserve">Alcance de lecturas y nivel de complejidad del texto 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910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lastRenderedPageBreak/>
              <w:t>2.LL.ALC.11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Al finalizar el segundo grado, lee con fluidez y comprende los cuentos y poesías de complejidad adecuada. Lee independientemente para entender y disfrutar libros que sean considerablemente más complejos en cuanto a la trama, la sintaxis y la estructura.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trHeight w:val="379"/>
        </w:trPr>
        <w:tc>
          <w:tcPr>
            <w:tcW w:w="1310" w:type="dxa"/>
            <w:shd w:val="clear" w:color="000000" w:fill="BFBFBF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BFBFBF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>Lectura de textos informativos</w:t>
            </w:r>
          </w:p>
        </w:tc>
      </w:tr>
      <w:tr w:rsidR="000F7281" w:rsidRPr="000F7281" w:rsidTr="000F7281">
        <w:trPr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Ideas clave y detalles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2.LI.ICD.1a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estrategias para monitorear la comprensión (por ejemplo: releer, utilizar pistas visuales, autocorrección, hacer y responder preguntas, hacer y confirmar predicciones).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2.LI.ICD.1b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Formula preguntas: quién, qué, dónde, por qué y cómo para demostrar comprensión de los detalles claves del texto.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2.LI.ICD.2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Lee un texto informativo para responder una pregunta en particular; identifica el tema central de un texto de varios párrafos, así como la temática principal de cada párrafo.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2.LI.ICD.3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Describe las conexiones entre diferentes partes de la información (por ejemplo: secuencia de eventos, pasos de un proceso, causa y efecto, y relación de comparación y contraste).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2653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Técnica y estructura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2.LI.TE.4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Determina el significado o varios significados de las palabras (por ejemplo: categorías, sinónimos y antónimos) en contexto o utiliza recursos (por ejemplo: el glosario).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2.LI.TE.5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Conoce y utiliza varias características del texto (por ejemplo: leyenda, letras en negritas, subtítulos, glosario, índice, menú electrónico, íconos) para encontrar datos clave o información en el texto eficientemente.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2.LI.TE.6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Identifica el propósito principal del texto, incluyendo lo que el autor quiere responder, explicar o describir.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2653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Integración del conocimiento e ideas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2.LI.ICI.7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Explica cómo imágenes específicas (por ejemplo: un diagrama que muestra cómo funciona una máquina) contribuyen a y aclaran un texto.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2.LI.ICI.8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Identifica hechos o detalles del texto que desarrollan o apoyan las ideas o el razonamiento del autor.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2.LI.ICI.9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Compara y contrasta las ideas más importantes presentadas en dos textos del mismo tema.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2.LI.ICI.10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Aplica el conocimiento textual adquirido como base para la comprensión y la exploración del propio idioma, cultura y país.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2653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 xml:space="preserve">Alcance de lecturas y nivel de complejidad del texto 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2.LI.ALC.11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Al finalizar el año, el estudiante lee y comprende proficientemente textos de información, incluso textos de historia/estudios sociales, ciencias y textos técnicos de complejidad apropiada.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trHeight w:val="379"/>
        </w:trPr>
        <w:tc>
          <w:tcPr>
            <w:tcW w:w="1310" w:type="dxa"/>
            <w:shd w:val="clear" w:color="000000" w:fill="BFBFBF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BFBFBF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>El dominio del lenguaje</w:t>
            </w:r>
          </w:p>
        </w:tc>
      </w:tr>
      <w:tr w:rsidR="000F7281" w:rsidRPr="000F7281" w:rsidTr="000F7281">
        <w:trPr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 xml:space="preserve">Normativas del español 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2.L.NE.1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Demuestra dominio de las normas del español apropiadas para el grado y su uso al escribir y hablar.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2.L.NE.1a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nombres colectivos (por ejemplo: la gente, el grupo).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2.L.NE.1b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Forma y utiliza frecuentemente sustantivos comunes, plurales e irregulares: sustituye la z por c y cambia el acento cuando sea necesario (por ejemplo: luz-luces, lápiz-lápices, pez-peces, corazón-corazones, joven-jóvenes).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lastRenderedPageBreak/>
              <w:t>2.L.NE.1c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pronombres reflexivos (por ejemplo: me lavo las manos; nos cansamos mucho; se sienten contentos hoy).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2.L.NE.1d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Identifica y utiliza tiempos verbales regulares (presente, pasado y futuro) apropiada y consistentemente; forma y utiliza el pasado de los verbos comunes irregulares (por ejemplo: decir-dijo, hacer-hizo, poner-puso, saber-supimos).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2.L.NE.1e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adjetivos y adverbios apropiadamente.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2.L.NE.1f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Escribe oraciones simples con un nivel de complejidad mayor al añadir elementos al sujeto y predicado.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2.L.NE.1g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Crea oraciones compuestas con el uso de oraciones simples (por ejemplo: El niño vio la película; El niño pequeño vio la película; El niño pequeño vio la película y dijo que fue interesante).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2.L.NE.1h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Genera el aumentativo o diminutivo de las palabras estudiadas (por ejemplo: perro-perrote-perrito, casa-casota-casita).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2.L.NE.2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Demuestra dominio de las normas del español apropiadas para el grado: el uso de las mayúsculas, puntuación y acentuación en el lenguaje escrito.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2.L.NE.2a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letras mayúsculas para los nombres propios, días festivos, nombres de productos, nombres geográficos y la primera letra en los títulos de libros, películas, dramas, etc.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2.L.NE.2b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dos puntos en los saludos y comas en las despedidas de las cartas.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2.L.NE.2c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la preposición </w:t>
            </w:r>
            <w:r w:rsidRPr="000F7281">
              <w:rPr>
                <w:rFonts w:ascii="Calibri" w:eastAsia="Times New Roman" w:hAnsi="Calibri" w:cs="Times New Roman"/>
                <w:i/>
                <w:iCs/>
                <w:color w:val="000000"/>
                <w:lang w:eastAsia="es-PR"/>
              </w:rPr>
              <w:t>de</w:t>
            </w: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 para indicar posesión.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2.L.NE.2d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Generaliza los patrones de deletreo aprendidos al escribir y utilizar sustantivos plurales irregulares (por ejemplo: feliz-felices; carácter-caracteres).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2.L.NE.2e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Consulta diccionarios para principiantes para verificar y corregir el deletreo.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2.L.NE.2f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Utiliza el guion corto.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2.L.NE.2g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Clasifica las palabras de acuerdo a sus acentos (agudas, llanas y esdrújulas) y utiliza los acentos adecuadamente al escribir.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2.L.NE.2h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Escribe correctamente las palabras que contienen las sílabas y fonemas s (x), g (j), (ll); g (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gui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,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gue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); ce, ci, se,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si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; y m antes de p y b (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mb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 y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mp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).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2.L.NE.2i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Escribe palabras que contienen los siguientes grupos de consonantes: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bl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, cl,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fl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,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gl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,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pl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,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br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,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cr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,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fr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, gr,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pr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,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tr</w:t>
            </w:r>
            <w:proofErr w:type="spellEnd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, and </w:t>
            </w:r>
            <w:proofErr w:type="spellStart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dr.</w:t>
            </w:r>
            <w:proofErr w:type="spellEnd"/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2653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Conocimiento del lenguaje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2.L.CL.3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conocimiento apropiado al grado sobre el lenguaje y sus convenciones: escuchar, hablar, leer y escribir.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2.L.CL.3a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Compara los usos formales e informales del español.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2653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Adquisición y uso de vocabulario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2.L.V.4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Determina o aclara el significado de palabras y frases nuevas o con múltiples significado, basado en lecturas y contenido del segundo grado., Escoge con flexibilidad de una selección de estrategias.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2.L.V.4a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Decodifica y utiliza estrategias de lectura para definir las palabras de vocabulario en contexto.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2.L.V.4b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Determina el significado de palabras nuevas formadas cuando se le añade un morfema (prefijo) a una palabra conocida (por ejemplo: feliz-infeliz, contar-recontar).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lastRenderedPageBreak/>
              <w:t>2.L.V.4c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los morfemas, monemas y lexemas de una palabra conocida como clave para entender una palabra desconocida con el mismo lexema (por ejemplo: flor-florero-florista).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2.L.V.4d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lexemas para predecir el significado de palabras compuestas (por ejemplo: pasar, pasatiempo; sacar, sacapuntas; bien, bienvenidos).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2.L.V.4e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glosarios y diccionarios impresos y digitales para principiantes para determinar o aclarar el significado de palabras y frases.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2.L.V.5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Demuestra comprensión de las relaciones entre palabras y sus significados.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2.L.V.5a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Distingue diferentes significados entre verbos que se relacionan (por ejemplo: tirar, aventar, lanzar) y adjetivos que se relacionan (por ejemplo: delgado, esbelto, flaco).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2.L.V.5b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Identifica conexiones de la vida real entre las palabras y sus usos (por ejemplo: describir comidas picantes o jugosas).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2.L.V.6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palabras y frases adquiridas a través de la lectura, conversaciones y diálogos con el texto. La lectura incluye el uso de adjetivos y adverbios (por ejemplo: “Cuando otros niños están contentos, yo también me siento contento").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2.L.V.6a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palabras adecuadamente al describir, comparar y contrastar seres vivos, acciones y eventos.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2.L.V.6b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vocabulario recién adquirido al parafrasear cuentos en voz alta.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trHeight w:val="379"/>
        </w:trPr>
        <w:tc>
          <w:tcPr>
            <w:tcW w:w="1310" w:type="dxa"/>
            <w:shd w:val="clear" w:color="000000" w:fill="BFBFBF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BFBFBF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>Escritura y producción de textos</w:t>
            </w:r>
          </w:p>
        </w:tc>
      </w:tr>
      <w:tr w:rsidR="000F7281" w:rsidRPr="000F7281" w:rsidTr="000F7281">
        <w:trPr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Tipos de textos y sus propósitos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2.E.TP.1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Redacta textos cortos que expresen una opinión que se pueda conectar con palabras alcance (porque, también) y que incluya una conclusión.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2.E.TP.1a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Utiliza estrategias simples para tomar apuntes y genera razones a favor y en contra de asuntos reales.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2.E.TP.1b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Escribe varias oraciones relacionadas que conecten la opinión expresada con razones y evidencia relevante.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2.E.TP.2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Redacta textos informativos y descriptivos en los que menciona el tema, algunos datos y definiciones para apoyar los puntos y se provee un segmento u oración de cierre.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2.E.TP.2a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Utiliza estrategias simples para planificar la escritura (por ejemplo: enumerar, tablas, organizadores gráficos).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910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2.E.TP.2b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Selecciona y organiza información de hechos relevantes sobre subtemas o temas más amplios en varias oraciones relacionadas; utiliza vocabulario de dominio específico y describe una secuencia de eventos o explica un procedimiento (por ejemplo: contiene una lista de los materiales necesarios y dice los pasos en un orden lógico).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2.E.TP.3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Redacta narraciones de eventos en oraciones completas en las que incluye detalles que sostienen las acciones, pensamientos, sentimientos y señala el orden de los eventos desde el inicio hasta el final.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2.E.TP.3a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Organiza lógicamente textos con un título y enfoque (presentar qué, quién y por qué); utiliza palabras que señalan secuencia (primero, luego, después) y vincula el problema con la solución.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2.E.TP.3b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Provee descripciones básicas de personajes basadas en su apariencia o acciones y en lo que otros piensen de ellos.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Producción y distribución de trabajos escritos</w:t>
            </w:r>
          </w:p>
        </w:tc>
      </w:tr>
      <w:tr w:rsidR="000F7281" w:rsidRPr="000F7281" w:rsidTr="000F7281">
        <w:trPr>
          <w:gridAfter w:val="1"/>
          <w:wAfter w:w="6" w:type="dxa"/>
          <w:trHeight w:val="910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lastRenderedPageBreak/>
              <w:t>2.E.PE.4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A través de la participación en actividades grupales grandes y pequeñas, produce trabajos escritos en el que el desarrollo y la organización sean apropiados para la tarea y propósito. (Los indicadores específicos del grado para los tipos de escritura se definen en los del 1-3).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2.E.PE.4a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Demuestra domino de la escritura de molde.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2.E.PE.4b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Se inicia en los trazos básicos de la escritura cursiva.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2.E.PE.5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Con apoyo del maestro, el estudiante se enfoca en el tema y fortalece la escritura según se necesite al revisar y editar utilizando acentuación, gramática, deletreo y mecánica apropiada para su grado.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2.E.PE.6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Con apoyo del maestro, el estudiante utiliza varias herramientas digitales para hacer borradores, producir y publicar trabajos escritos con la colaboración con sus compañeros.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2.E.PE.7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(No se atienden en segundo grado).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Uso de la investigación para adquirir y presentar conocimientos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2.E.I.8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Participa en proyectos de investigación en grupo y en proyectos de trabajos escritos de interés personal para diversos propósitos, mantiene un récord de información importante sobre el tema.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910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2.E.I.9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Con apoyo del maestro, el estudiante recuerda información sobre experiencias o recopila información de varias fuentes (por ejemplo: pared de palabras, charlas sobre libros, textos guía) para responder a una pregunta de forma escrita.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2.E.I.10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(No se atienden en segundo grado).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</w:tr>
      <w:tr w:rsidR="000F7281" w:rsidRPr="000F7281" w:rsidTr="000F7281">
        <w:trPr>
          <w:trHeight w:val="303"/>
        </w:trPr>
        <w:tc>
          <w:tcPr>
            <w:tcW w:w="1310" w:type="dxa"/>
            <w:shd w:val="clear" w:color="000000" w:fill="F2F2F2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7345" w:type="dxa"/>
            <w:gridSpan w:val="8"/>
            <w:shd w:val="clear" w:color="000000" w:fill="F2F2F2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Alcance de la escritura</w:t>
            </w:r>
          </w:p>
        </w:tc>
      </w:tr>
      <w:tr w:rsidR="000F7281" w:rsidRPr="000F7281" w:rsidTr="000F7281">
        <w:trPr>
          <w:gridAfter w:val="1"/>
          <w:wAfter w:w="6" w:type="dxa"/>
          <w:trHeight w:val="607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2.E.AE.11</w:t>
            </w: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Escribe en periodos de tiempo cada vez más cortos (de una vez</w:t>
            </w:r>
            <w:bookmarkStart w:id="0" w:name="_GoBack"/>
            <w:bookmarkEnd w:id="0"/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, en uno o dos días) para producir textos cortos (por ejemplo: poemas, cartas familiares, resumen) para completar una variedad de tareas.  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X </w:t>
            </w:r>
          </w:p>
        </w:tc>
      </w:tr>
      <w:tr w:rsidR="000F7281" w:rsidRPr="000F7281" w:rsidTr="000F7281">
        <w:trPr>
          <w:gridAfter w:val="1"/>
          <w:wAfter w:w="3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Número de indicadores por trimestre</w:t>
            </w:r>
          </w:p>
        </w:tc>
        <w:tc>
          <w:tcPr>
            <w:tcW w:w="1563" w:type="dxa"/>
            <w:gridSpan w:val="2"/>
            <w:shd w:val="clear" w:color="000000" w:fill="F2DCDB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68</w:t>
            </w:r>
          </w:p>
        </w:tc>
        <w:tc>
          <w:tcPr>
            <w:tcW w:w="1563" w:type="dxa"/>
            <w:gridSpan w:val="2"/>
            <w:shd w:val="clear" w:color="000000" w:fill="EBF1DE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68</w:t>
            </w:r>
          </w:p>
        </w:tc>
        <w:tc>
          <w:tcPr>
            <w:tcW w:w="1563" w:type="dxa"/>
            <w:gridSpan w:val="2"/>
            <w:shd w:val="clear" w:color="000000" w:fill="DCE6F1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67</w:t>
            </w:r>
          </w:p>
        </w:tc>
      </w:tr>
      <w:tr w:rsidR="000F7281" w:rsidRPr="000F7281" w:rsidTr="000F7281">
        <w:trPr>
          <w:gridAfter w:val="1"/>
          <w:wAfter w:w="6" w:type="dxa"/>
          <w:trHeight w:val="303"/>
        </w:trPr>
        <w:tc>
          <w:tcPr>
            <w:tcW w:w="1310" w:type="dxa"/>
            <w:shd w:val="clear" w:color="auto" w:fill="auto"/>
            <w:noWrap/>
            <w:vAlign w:val="bottom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12653" w:type="dxa"/>
            <w:shd w:val="clear" w:color="auto" w:fill="auto"/>
            <w:hideMark/>
          </w:tcPr>
          <w:p w:rsidR="000F7281" w:rsidRPr="000F7281" w:rsidRDefault="000F7281" w:rsidP="000F728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Número de indicadores por unidad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37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31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35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33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27</w:t>
            </w:r>
          </w:p>
        </w:tc>
        <w:tc>
          <w:tcPr>
            <w:tcW w:w="781" w:type="dxa"/>
            <w:shd w:val="clear" w:color="000000" w:fill="F2F2F2"/>
            <w:noWrap/>
            <w:vAlign w:val="center"/>
            <w:hideMark/>
          </w:tcPr>
          <w:p w:rsidR="000F7281" w:rsidRPr="000F7281" w:rsidRDefault="000F7281" w:rsidP="000F72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0F7281">
              <w:rPr>
                <w:rFonts w:ascii="Calibri" w:eastAsia="Times New Roman" w:hAnsi="Calibri" w:cs="Times New Roman"/>
                <w:color w:val="000000"/>
                <w:lang w:eastAsia="es-PR"/>
              </w:rPr>
              <w:t>40</w:t>
            </w:r>
          </w:p>
        </w:tc>
      </w:tr>
    </w:tbl>
    <w:p w:rsidR="00762791" w:rsidRDefault="00762791" w:rsidP="00E9149C">
      <w:pPr>
        <w:spacing w:after="0"/>
      </w:pPr>
    </w:p>
    <w:p w:rsidR="00E9149C" w:rsidRDefault="00E9149C" w:rsidP="00E9149C">
      <w:pPr>
        <w:spacing w:after="0"/>
      </w:pPr>
    </w:p>
    <w:tbl>
      <w:tblPr>
        <w:tblW w:w="18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2"/>
        <w:gridCol w:w="12569"/>
        <w:gridCol w:w="794"/>
        <w:gridCol w:w="735"/>
        <w:gridCol w:w="735"/>
        <w:gridCol w:w="735"/>
        <w:gridCol w:w="885"/>
        <w:gridCol w:w="750"/>
      </w:tblGrid>
      <w:tr w:rsidR="00E73B6E" w:rsidRPr="00E9149C" w:rsidTr="00F91CB8">
        <w:trPr>
          <w:trHeight w:val="2480"/>
        </w:trPr>
        <w:tc>
          <w:tcPr>
            <w:tcW w:w="14111" w:type="dxa"/>
            <w:gridSpan w:val="2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  <w:lang w:eastAsia="es-PR"/>
              </w:rPr>
            </w:pPr>
            <w:bookmarkStart w:id="1" w:name="RANGE!A1:H108"/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PR"/>
              </w:rPr>
              <w:t>Herramienta de Alineación Curricular - Resumen a través de las unidades</w:t>
            </w: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PR"/>
              </w:rPr>
              <w:br/>
              <w:t>Departamento de Educación de Puerto Rico</w:t>
            </w: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PR"/>
              </w:rPr>
              <w:br/>
              <w:t>Adquisición de la Lengua - Estudios Sociales</w:t>
            </w: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PR"/>
              </w:rPr>
              <w:br/>
              <w:t>2do Grado</w:t>
            </w:r>
            <w:bookmarkEnd w:id="1"/>
          </w:p>
        </w:tc>
        <w:tc>
          <w:tcPr>
            <w:tcW w:w="794" w:type="dxa"/>
            <w:shd w:val="clear" w:color="000000" w:fill="F2F2F2"/>
            <w:textDirection w:val="tbRl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t xml:space="preserve">Unidad 2.1 </w:t>
            </w: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br/>
              <w:t>Todos somos uno</w:t>
            </w:r>
          </w:p>
        </w:tc>
        <w:tc>
          <w:tcPr>
            <w:tcW w:w="735" w:type="dxa"/>
            <w:shd w:val="clear" w:color="auto" w:fill="auto"/>
            <w:textDirection w:val="tbRl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t xml:space="preserve">Unidad 2.2 </w:t>
            </w: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br/>
              <w:t>Descubriendo mi comunidad</w:t>
            </w:r>
          </w:p>
        </w:tc>
        <w:tc>
          <w:tcPr>
            <w:tcW w:w="735" w:type="dxa"/>
            <w:shd w:val="clear" w:color="000000" w:fill="F2F2F2"/>
            <w:textDirection w:val="tbRl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t xml:space="preserve">Unidad 2.3 </w:t>
            </w: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br/>
              <w:t>Celebrando nuestra cultura</w:t>
            </w:r>
          </w:p>
        </w:tc>
        <w:tc>
          <w:tcPr>
            <w:tcW w:w="735" w:type="dxa"/>
            <w:shd w:val="clear" w:color="auto" w:fill="auto"/>
            <w:textDirection w:val="tbRl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t xml:space="preserve">Unidad 2.4 </w:t>
            </w: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br/>
              <w:t>Le canto a mi país</w:t>
            </w:r>
          </w:p>
        </w:tc>
        <w:tc>
          <w:tcPr>
            <w:tcW w:w="885" w:type="dxa"/>
            <w:shd w:val="clear" w:color="000000" w:fill="F2F2F2"/>
            <w:textDirection w:val="tbRl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t>Unidad 2.5</w:t>
            </w: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br/>
              <w:t>Planifico y tomo decisiones económicas</w:t>
            </w:r>
          </w:p>
        </w:tc>
        <w:tc>
          <w:tcPr>
            <w:tcW w:w="750" w:type="dxa"/>
            <w:shd w:val="clear" w:color="auto" w:fill="auto"/>
            <w:textDirection w:val="tbRl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PR"/>
              </w:rPr>
              <w:t xml:space="preserve">Unidad 2.6 </w:t>
            </w: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PR"/>
              </w:rPr>
              <w:br/>
              <w:t>La diversidad en mi ambiente</w:t>
            </w:r>
          </w:p>
        </w:tc>
      </w:tr>
      <w:tr w:rsidR="00E73B6E" w:rsidRPr="00E9149C" w:rsidTr="00F91CB8">
        <w:trPr>
          <w:trHeight w:val="345"/>
        </w:trPr>
        <w:tc>
          <w:tcPr>
            <w:tcW w:w="1542" w:type="dxa"/>
            <w:shd w:val="clear" w:color="000000" w:fill="A6A6A6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>Estándar 1</w:t>
            </w:r>
          </w:p>
        </w:tc>
        <w:tc>
          <w:tcPr>
            <w:tcW w:w="12569" w:type="dxa"/>
            <w:shd w:val="clear" w:color="000000" w:fill="A6A6A6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>Cambio y continuidad</w:t>
            </w:r>
          </w:p>
        </w:tc>
        <w:tc>
          <w:tcPr>
            <w:tcW w:w="794" w:type="dxa"/>
            <w:shd w:val="clear" w:color="000000" w:fill="A6A6A6"/>
            <w:textDirection w:val="tbRl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t> </w:t>
            </w:r>
          </w:p>
        </w:tc>
        <w:tc>
          <w:tcPr>
            <w:tcW w:w="735" w:type="dxa"/>
            <w:shd w:val="clear" w:color="000000" w:fill="A6A6A6"/>
            <w:textDirection w:val="tbRl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t> </w:t>
            </w:r>
          </w:p>
        </w:tc>
        <w:tc>
          <w:tcPr>
            <w:tcW w:w="735" w:type="dxa"/>
            <w:shd w:val="clear" w:color="000000" w:fill="A6A6A6"/>
            <w:textDirection w:val="tbRl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t> </w:t>
            </w:r>
          </w:p>
        </w:tc>
        <w:tc>
          <w:tcPr>
            <w:tcW w:w="735" w:type="dxa"/>
            <w:shd w:val="clear" w:color="000000" w:fill="A6A6A6"/>
            <w:textDirection w:val="tbRl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t> </w:t>
            </w:r>
          </w:p>
        </w:tc>
        <w:tc>
          <w:tcPr>
            <w:tcW w:w="885" w:type="dxa"/>
            <w:shd w:val="clear" w:color="000000" w:fill="A6A6A6"/>
            <w:textDirection w:val="tbRl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PR"/>
              </w:rPr>
              <w:t> </w:t>
            </w:r>
          </w:p>
        </w:tc>
        <w:tc>
          <w:tcPr>
            <w:tcW w:w="750" w:type="dxa"/>
            <w:shd w:val="clear" w:color="000000" w:fill="A6A6A6"/>
            <w:textDirection w:val="tbRl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  <w:t> </w:t>
            </w:r>
          </w:p>
        </w:tc>
      </w:tr>
      <w:tr w:rsidR="00E73B6E" w:rsidRPr="00E9149C" w:rsidTr="00F91CB8">
        <w:trPr>
          <w:trHeight w:val="386"/>
        </w:trPr>
        <w:tc>
          <w:tcPr>
            <w:tcW w:w="1542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36"/>
                <w:lang w:eastAsia="es-PR"/>
              </w:rPr>
            </w:pP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PR"/>
              </w:rPr>
              <w:t>Estudia la vida de las sociedades en el contexto de los cambios y las transformaciones que se producen a través del tiempo.</w:t>
            </w:r>
          </w:p>
        </w:tc>
        <w:tc>
          <w:tcPr>
            <w:tcW w:w="794" w:type="dxa"/>
            <w:shd w:val="clear" w:color="000000" w:fill="F2F2F2"/>
            <w:textDirection w:val="tbRl"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textDirection w:val="tbRl"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textDirection w:val="tbRl"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textDirection w:val="tbRl"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textDirection w:val="tbRl"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textDirection w:val="tbRl"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PR"/>
              </w:rPr>
            </w:pP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4"/>
                <w:lang w:eastAsia="es-PR"/>
              </w:rPr>
              <w:lastRenderedPageBreak/>
              <w:t>E.CC.2</w:t>
            </w:r>
          </w:p>
        </w:tc>
        <w:tc>
          <w:tcPr>
            <w:tcW w:w="17203" w:type="dxa"/>
            <w:gridSpan w:val="7"/>
            <w:shd w:val="clear" w:color="auto" w:fill="auto"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El estudiante es capaz de explorar y examinar en torno a los hechos y cambios que ocurren en la familia, la comunidad y el país</w:t>
            </w:r>
          </w:p>
        </w:tc>
      </w:tr>
      <w:tr w:rsidR="00E73B6E" w:rsidRPr="00E9149C" w:rsidTr="00F91CB8">
        <w:trPr>
          <w:trHeight w:val="404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CC.2.1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Participa de actividades en la familia, la comunidad y la escuela en las que utiliza conceptos tales como: pasado, presente y futuro.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 xml:space="preserve">CC. 2.2. 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Narra actividades en las que participa en la familia, la comunidad y la escuela, y aplica conceptos de tiempo para ordenar los eventos en la secuencia que ocurrieron.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9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 xml:space="preserve">CC.2.3.  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Comunica cambios que observa en el hogar, la comunidad y la escuela, y destaca las diferencias entre lo que observó antes y lo que observa ahora: costumbres, vivienda, formas de trabajo, medios de comunicación y de transportación, relaciones entre padres, hijos, abuelos, primos, tíos y vecinos.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 xml:space="preserve">CC.2.4. 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Plantea hechos importantes ocurridos en la comunidad, costumbres y tradiciones, emigración de puertorriqueños, llegada de extranjeros.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737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 xml:space="preserve">CC.2.5. 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Resalta nombres de hombres y mujeres que se han destacado por su trabajo en la comunidad y el país: Rafael Cordero (maestro), Lola Rodríguez de </w:t>
            </w:r>
            <w:proofErr w:type="spellStart"/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Tió</w:t>
            </w:r>
            <w:proofErr w:type="spellEnd"/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 (poeta), Francisco Oller (pintor), Ramón Emeterio Betances (médico), Roberto Clemente (deportista) y otros.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43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 xml:space="preserve">CC.2.6. 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Investiga a través de fotografías familiares cómo la composición de la familia cambia a través del tiempo (investigación).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59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 xml:space="preserve">CC.2.7. 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Plantea características de los indios de Puerto Rico y resalta la vida en comunidad, la agricultura, alimentación, vestimenta y creencias.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 xml:space="preserve">CC.2.8. 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Plantea la idea central de un párrafo sobre un texto informativo.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476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CC.2.9.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Resalta temas de conmemoraciones de su comunidad y de Puerto Rico: Día de Navidad, Día de Año Nuevo, Día de Reyes.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75"/>
        </w:trPr>
        <w:tc>
          <w:tcPr>
            <w:tcW w:w="1542" w:type="dxa"/>
            <w:shd w:val="clear" w:color="000000" w:fill="A6A6A6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>Estándar 2:</w:t>
            </w:r>
          </w:p>
        </w:tc>
        <w:tc>
          <w:tcPr>
            <w:tcW w:w="17203" w:type="dxa"/>
            <w:gridSpan w:val="7"/>
            <w:shd w:val="clear" w:color="000000" w:fill="A6A6A6"/>
            <w:hideMark/>
          </w:tcPr>
          <w:p w:rsidR="00E73B6E" w:rsidRPr="00F91CB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 xml:space="preserve">PERSONAS, LUGARES Y AMBIENTE </w:t>
            </w: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2569" w:type="dxa"/>
            <w:shd w:val="clear" w:color="auto" w:fill="auto"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Analiza la interacción entre las personas, los lugares, las regiones y el ambiente, y desarrolla habilidad para aplicar y modificar perspectivas geográficas que afectan la vida del ser humano.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4"/>
                <w:lang w:eastAsia="es-PR"/>
              </w:rPr>
              <w:t>E.PLA.2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El estudiante es capaz d</w:t>
            </w:r>
            <w:r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e comprender cómo las personas </w:t>
            </w: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participan en la producción de espacios y lugares, y de explicar la relación de las actividades humanas y el medio ambiente.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557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PLA.2.1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Utiliza vocabulario pertinente a partir de su contexto cultural, para referirse al espacio inmediato, incluyendo formas de dividirlo a diferentes escalas: edificios, casa, calle, barrio, barriada, urbanización, residencial, pueblo, país; norte, sur, este, oeste.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PLA.2.2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Localiza en un plano o mapa los puntos cardinales norte, sur, este y oeste (escuela, comunidad, barrio, municipio)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PLA.2.3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Participa en   ejercicios cartográficos para identificar diversas representaciones de la Tierra a través de mapas, globos e imágenes digitalizadas.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PLA.2.4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Construye planos para representar espacios a una escala (salón, escuela, barrio, casa, calle, urbanización).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9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PLA.2.5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Desarrollan  experiencias que conlleven estudiar y  analizar el paisaje a partir de sus diversos componentes (edificios, áreas verdes, actividades humanas: agricultura, industria, comercio, trabajo, recreación, deporte) [recorridos o itinerarios didácticos, estudios de campo]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458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PLA.2.6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Participa en experiencias de laboratorio en las que reconoce espacios y figuras en fotos, planos, mapas e imágenes digitalizadas.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440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PLA.2.7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Plantea características de las niñas y los niños a partir del país de origen: grupo étnico, religión, lenguaje, tradiciones y costumbres.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440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lastRenderedPageBreak/>
              <w:t>PLA.2.8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Formula y busca contestaciones a preguntas de geografía relacionadas con la escuela, la comunidad y el pueblo o municipio.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PLA.2.9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Investiga en el salón la representación de la Tierra a través de diversos tipos mapas, globos que le permiten observar e indagar en torno a las personas, los lugares y el ambiente.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PLA.2.10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Utiliza imagen, ilustración o fotografía para describir característic</w:t>
            </w:r>
            <w:r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as del </w:t>
            </w: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espacio, el ambiente y las actividades humanas, y la interacción de los seres humanos y el ambiente.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375"/>
        </w:trPr>
        <w:tc>
          <w:tcPr>
            <w:tcW w:w="1542" w:type="dxa"/>
            <w:shd w:val="clear" w:color="000000" w:fill="A6A6A6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>Estándar 3:</w:t>
            </w:r>
          </w:p>
        </w:tc>
        <w:tc>
          <w:tcPr>
            <w:tcW w:w="12569" w:type="dxa"/>
            <w:shd w:val="clear" w:color="000000" w:fill="A6A6A6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 xml:space="preserve"> DESARROLLO PERSONAL </w:t>
            </w:r>
          </w:p>
        </w:tc>
        <w:tc>
          <w:tcPr>
            <w:tcW w:w="794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45"/>
        </w:trPr>
        <w:tc>
          <w:tcPr>
            <w:tcW w:w="1542" w:type="dxa"/>
            <w:shd w:val="clear" w:color="000000" w:fill="F2F2F2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</w:p>
        </w:tc>
        <w:tc>
          <w:tcPr>
            <w:tcW w:w="12569" w:type="dxa"/>
            <w:shd w:val="clear" w:color="000000" w:fill="F2F2F2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Afirma los valores de la persona a partir del conocimiento de las características del desarrollo humano, de la inserción social y la participación ciudadana.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46"/>
        </w:trPr>
        <w:tc>
          <w:tcPr>
            <w:tcW w:w="1542" w:type="dxa"/>
            <w:shd w:val="clear" w:color="000000" w:fill="F2F2F2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es-PR"/>
              </w:rPr>
              <w:t>E.DP.2</w:t>
            </w:r>
          </w:p>
        </w:tc>
        <w:tc>
          <w:tcPr>
            <w:tcW w:w="12569" w:type="dxa"/>
            <w:shd w:val="clear" w:color="000000" w:fill="F2F2F2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El estudiante es capaz de demostrar comportamientos dirigidos a fortalecer el desarrollo personal y a afirmar atributos de una personalidad integral y un ciudadano emprendedor y productivo.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431"/>
        </w:trPr>
        <w:tc>
          <w:tcPr>
            <w:tcW w:w="1542" w:type="dxa"/>
            <w:shd w:val="clear" w:color="000000" w:fill="F2F2F2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DP.2.1</w:t>
            </w:r>
          </w:p>
        </w:tc>
        <w:tc>
          <w:tcPr>
            <w:tcW w:w="12569" w:type="dxa"/>
            <w:shd w:val="clear" w:color="000000" w:fill="F2F2F2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Describe sus características personales de sí mismo, incluyendo intereses, deseos, capacidades, talentos y percepciones. 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46"/>
        </w:trPr>
        <w:tc>
          <w:tcPr>
            <w:tcW w:w="1542" w:type="dxa"/>
            <w:shd w:val="clear" w:color="000000" w:fill="F2F2F2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DP.2.2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Plantea cómo conocer las características personales que lo ayudan a saber cómo es y cómo puede cambiar a través de su crecimiento y desarrollo. 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404"/>
        </w:trPr>
        <w:tc>
          <w:tcPr>
            <w:tcW w:w="1542" w:type="dxa"/>
            <w:shd w:val="clear" w:color="000000" w:fill="F2F2F2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DP.2.3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Compara sus intereses personales y tareas que sabe hacer con las de sus compañeros a través de una lista desarrollada en la clase.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4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DP.2.4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Demuestra esfuerzo para </w:t>
            </w:r>
            <w:r>
              <w:rPr>
                <w:rFonts w:ascii="Calibri" w:eastAsia="Times New Roman" w:hAnsi="Calibri" w:cs="Times New Roman"/>
                <w:color w:val="000000"/>
                <w:lang w:eastAsia="es-PR"/>
              </w:rPr>
              <w:t>culminar tareas, alcanzar metas</w:t>
            </w: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 y disfrutar logros y solicita ayuda cuando es necesario.     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44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DP.2.5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Desarrolla responsabilidad ciudadana al ponerse en el lugar del otro en las diversas tareas y actividades en las que participa.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DP.2.6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Demuestra sensibilidad, tolerancia y respeto por sí mismo, por sus compañeros y por otros miembros de la comunidad: trato justo y no violento entre sus compañeros; trato justo y equitativo entre los géneros.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DP.2.7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Participa en forma efectiva en equipos de juego y de trabajo y sigue las instrucciones impartidas.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332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DP.2.8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Demuestra que puede trabajar con otras personas en equipos de juego, en actividades y tareas colaborativas. 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77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DP.2.9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Manifiesta trato justo y exhibe comportamiento no violento entre compañeros.     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DP.2.10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Demuestra trato justo y equitativo entre los géneros.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75"/>
        </w:trPr>
        <w:tc>
          <w:tcPr>
            <w:tcW w:w="1542" w:type="dxa"/>
            <w:shd w:val="clear" w:color="000000" w:fill="A6A6A6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 xml:space="preserve">Estándar 4: </w:t>
            </w:r>
          </w:p>
        </w:tc>
        <w:tc>
          <w:tcPr>
            <w:tcW w:w="12569" w:type="dxa"/>
            <w:shd w:val="clear" w:color="000000" w:fill="A6A6A6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 xml:space="preserve">IDENTIDAD CULTURAL </w:t>
            </w:r>
          </w:p>
        </w:tc>
        <w:tc>
          <w:tcPr>
            <w:tcW w:w="794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 </w:t>
            </w:r>
          </w:p>
        </w:tc>
        <w:tc>
          <w:tcPr>
            <w:tcW w:w="73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 </w:t>
            </w:r>
          </w:p>
        </w:tc>
        <w:tc>
          <w:tcPr>
            <w:tcW w:w="73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 </w:t>
            </w:r>
          </w:p>
        </w:tc>
        <w:tc>
          <w:tcPr>
            <w:tcW w:w="73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 </w:t>
            </w:r>
          </w:p>
        </w:tc>
        <w:tc>
          <w:tcPr>
            <w:tcW w:w="88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 </w:t>
            </w:r>
          </w:p>
        </w:tc>
        <w:tc>
          <w:tcPr>
            <w:tcW w:w="750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 </w:t>
            </w:r>
          </w:p>
        </w:tc>
      </w:tr>
      <w:tr w:rsidR="00E73B6E" w:rsidRPr="00E9149C" w:rsidTr="00F91CB8">
        <w:trPr>
          <w:trHeight w:val="9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 xml:space="preserve">Desarrolla los valores de la cultura a partir del conocimiento de sus elementos constitutivos y la práctica y la valoración de sus múltiples expresiones. Desarrolla un sentido de identidad propia y un concepto adecuado de sí mismo a partir de la afirmación de los valores de su cultura y su pueblo.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es-PR"/>
              </w:rPr>
              <w:t>E.DP.2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El estudiante es capaz de desarrollar conocimiento de los valores de la cultura, de sus conceptos fundamentales y de su potencial para cultivar y afirmar la identidad cultural propia.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 xml:space="preserve">IC.2.1. 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Produce narraciones orales (historia oral) en las que describe su participación  en las fiestas, tradiciones, costumbres y otras expresiones de la cultura desarrolladas en la familia, comunidad y escuela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IC.2.2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Desarrolla comparaciones entre diferentes fiestas, tradiciones, costumbres y otras expresiones de la cultura que se desarrollan en el hogar y la comunidad con las que desarrollan otras personas.    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lastRenderedPageBreak/>
              <w:t>IC.2.3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Demuestra gusto, interés y fervor al participar de actividades que promueven valores y tradiciones de la cultura puertorriqueña: juegos infantiles, bailes folklóricos, canciones escolares, estampas tradicionales y poesía coreada.       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IC.2.4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Desarrolla narraciones en las que demuestra cómo las familias y las comunidades se unen para celebrar fiestas y tradiciones de Puerto Rico.    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IC.2.5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Demuestra fervor y amor a la patria al interpretar el himno de Puerto Rico junto a los compañeros de la clase.                    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IC.2.6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Exhibe originalidad y creatividad al crear la versión pictórica personal de la bandera y el escudo de Puerto Rico.  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IC.2.7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Demuestra respeto por los himnos y demás símbolos nacionales de otros países y por las tradiciones y costumbres que en éstos se practican.   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IC.2. 8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Desarrolla inventario de los días de fiesta de Puerto Rico e investiga cuáles son fiestas tradicionales del país. 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IC.2.9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Desarrolla descripciones de ejemplos de comida típica y de manjares tradicionales que caracterizan la gastronomía puertorriqueña.  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IC.2.10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Manifiesta sensibilidad y expresa emociones a través de la apreciación, percepción y disfrute de obras artísticas y de monumentos históricos que forman parte del patrimonio cultural de Puerto Rico. 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IC.2.11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Aplica vocabulario en sus diálogos y en la participación en clase relacionado a la cultura y a sus expresiones y manifestaciones.  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75"/>
        </w:trPr>
        <w:tc>
          <w:tcPr>
            <w:tcW w:w="1542" w:type="dxa"/>
            <w:shd w:val="clear" w:color="000000" w:fill="A6A6A6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>Estándar 5:</w:t>
            </w:r>
          </w:p>
        </w:tc>
        <w:tc>
          <w:tcPr>
            <w:tcW w:w="12569" w:type="dxa"/>
            <w:shd w:val="clear" w:color="000000" w:fill="A6A6A6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 xml:space="preserve">PRODUCCIÓN, DISTRIBUCIÓN Y CONSUMO </w:t>
            </w:r>
          </w:p>
        </w:tc>
        <w:tc>
          <w:tcPr>
            <w:tcW w:w="794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20"/>
        </w:trPr>
        <w:tc>
          <w:tcPr>
            <w:tcW w:w="1542" w:type="dxa"/>
            <w:shd w:val="clear" w:color="000000" w:fill="F2F2F2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2569" w:type="dxa"/>
            <w:shd w:val="clear" w:color="000000" w:fill="F2F2F2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Examina y plantea cómo se organizan las sociedades humanas para producir, intercambiar y consumir bienes y servicios, y desarrolla habilidad para generar decisiones económicas eficaces tanto en el plano personal como en el ámbito colectivo.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es-PR"/>
              </w:rPr>
              <w:t>PDC.2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El estudiante es capaz de explicar cómo se organizan las personas para la producción, distribución y consumo de bienes y servicios, así como presenta alternativas para solucionar problemas y originar decisiones económicas.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PDC.2.1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Aplica vocabulario de actividades económicas básicas en sus diálogos y comunicaciones: tipos de monedas, servicios, productos, consumidor, sueldo o salario, ahorro.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PDC.2.2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Compara y contrasta necesidades y deseos, y explica la importancia de establecer prioridades.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PDC.2.3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Explica cómo el trabajo representa una actividad económica importante. 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PDC.2.4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Explica con ejemplos otras formas alternas para pagar productos y servicios: cheques, tarjetas de crédito y tarjetas de débito. 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PDC.2.5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Compara y contrasta los conceptos de servicio público y servicio privado.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PDC.2.6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Plantea diversas formas de practicar el ahorro y explica su importantica para los seres humanos.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PDC.2.7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Presenta argumentos para apoyar el buen uso de las instalaciones públicas y de los fondos públicos 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PDC.2.8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Desarrolla un inventario de lugares comerciales de la comunidad que venden diversos tipos de productos que prestan diversos servicios. 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PDC.2.9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Determina cómo los anuncios de productos y servicios influyen en las decisiones de las personas.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PDC.2.10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Presenta ejemplos en los que se evidencia que los productos y recursos que pueden escasear 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lastRenderedPageBreak/>
              <w:t>PDC.2.11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Narra experiencias en las que ilustra cómo el incentivo económico logra cambios en los seres humanos en los diversos escenarios en los que se desempeña.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PDC.2.12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Presenta ejemplos de cooperativas como instituciones que procuran ayudar a las personas.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PDC.2.13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Demuestra iniciativa para emprender tareas y actividades.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375"/>
        </w:trPr>
        <w:tc>
          <w:tcPr>
            <w:tcW w:w="1542" w:type="dxa"/>
            <w:shd w:val="clear" w:color="000000" w:fill="A6A6A6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>Estándar 6:</w:t>
            </w:r>
          </w:p>
        </w:tc>
        <w:tc>
          <w:tcPr>
            <w:tcW w:w="12569" w:type="dxa"/>
            <w:shd w:val="clear" w:color="000000" w:fill="A6A6A6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 xml:space="preserve">CONCIENCIA CÍVICA Y DEMOCRÁTICA </w:t>
            </w:r>
          </w:p>
        </w:tc>
        <w:tc>
          <w:tcPr>
            <w:tcW w:w="794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Practica y valora los principios que rigen la vida en una sociedad democrática y demuestra cómo la participación es la herramienta fundamental para el desempeño cívico y ciudadano.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es-PR"/>
              </w:rPr>
              <w:t>CCD.2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El estudiante es capaz de demostrar los principios que rigen un sistema democrático y de ser un ciudadano que aporte al mejoramiento de la calidad de vida de la comunicad, del país y del mundo.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CCD.2.1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Aplica reglas y normas y leyes del hogar, la escuela y la comunidad y señala cómo ayudan al orden y a la paz entre todos.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CCD.2.2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Explica cómo en la comunidad se establecen normas y leyes para asegurar el orden y lograr sana convivencia entre todos: reglas de cortesía, derechos, deberes, leyes, sanciones.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CCD.2.3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Participar a través de ejercicios y prácticas democráticas en tomar decisiones junto a los demás.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CCD.2.4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Demuestra cómo al cooperar y ayudar al grupo se pueden lograr beneficios comunes que ayudan a todos.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CCD.2.5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Presenta opiniones en torno a situaciones que afectan la convivencia entre los seres humanos en el hogar y en la escuela.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CCD.2.6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Demuestra con ejemplos experiencias de la vida democrática: participación en reuniones y asambleas de ciudadanos, participar de elecciones y escuchar a líderes y orientarse.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CCD.2.7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Plantea las responsabilidades como un compromiso de las niñas, los niños y los adultos y reconoce que lo que se hace tiene consecuencias.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CCD.2.8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Demuestra y ejerce derechos y </w:t>
            </w: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responsabilidades de los ciudadanos en la escuela y en la comunidad.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/>
                <w:color w:val="000000"/>
                <w:lang w:eastAsia="es-PR"/>
              </w:rPr>
              <w:t>CCD.2.9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Desarrolla narraciones en las que utiliza los conceptos gobierno y municipio, líderes de la escuela, de la comunidad y del país.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75"/>
        </w:trPr>
        <w:tc>
          <w:tcPr>
            <w:tcW w:w="1542" w:type="dxa"/>
            <w:shd w:val="clear" w:color="000000" w:fill="A6A6A6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>Estándar 7:</w:t>
            </w:r>
          </w:p>
        </w:tc>
        <w:tc>
          <w:tcPr>
            <w:tcW w:w="12569" w:type="dxa"/>
            <w:shd w:val="clear" w:color="000000" w:fill="A6A6A6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>CONCIENCIA GLOBAL</w:t>
            </w:r>
          </w:p>
        </w:tc>
        <w:tc>
          <w:tcPr>
            <w:tcW w:w="794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A6A6A6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A6A6A6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A6A6A6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000000" w:fill="A6A6A6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Evidencia con su comportamiento que es consciente de la d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 xml:space="preserve">iversidad de responsabilidades </w:t>
            </w: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que tiene como miembro de una comunidad mundial.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Cs/>
                <w:i/>
                <w:iCs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Cs/>
                <w:i/>
                <w:iCs/>
                <w:color w:val="000000"/>
                <w:lang w:eastAsia="es-PR"/>
              </w:rPr>
              <w:t>CG.2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El estudiante es capaz de crear conciencia acerca de los cambios en las relaciones políticas, económicas, sociales y culturales mundiales y generar acciones que contribuyan al entendimiento global.</w:t>
            </w:r>
          </w:p>
        </w:tc>
        <w:tc>
          <w:tcPr>
            <w:tcW w:w="794" w:type="dxa"/>
            <w:shd w:val="clear" w:color="000000" w:fill="BFBFBF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BFBFBF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BFBFBF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BFBFBF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BFBFBF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000000" w:fill="BFBFBF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color w:val="000000"/>
                <w:lang w:eastAsia="es-PR"/>
              </w:rPr>
              <w:t>CG.2.1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Demuestra con ejemplos costumbres y tradiciones de otros países del mundo que son diferentes a las de Puerto Rico.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color w:val="000000"/>
                <w:lang w:eastAsia="es-PR"/>
              </w:rPr>
              <w:t>CG.2.2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Presenta ejemplos de diversas conexiones globales en la comunidad y el país: internet y teléfono.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color w:val="000000"/>
                <w:lang w:eastAsia="es-PR"/>
              </w:rPr>
              <w:t>CG.2.3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Explica con ejemplos cómo los seres humanos dependemos unos de otros (interdependencia).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color w:val="000000"/>
                <w:lang w:eastAsia="es-PR"/>
              </w:rPr>
              <w:t>CG.2.4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Plantea ejemplos de cómo las niñas y los niños puertorriqueños pueden contribuir para cuidar y mejorar el planeta tierra como espacio de todos: crisis energética, manejo de desperdicios, conservación del ambiente.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color w:val="000000"/>
                <w:lang w:eastAsia="es-PR"/>
              </w:rPr>
              <w:lastRenderedPageBreak/>
              <w:t>CG.2.5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Presente ejemplos de artículos y productos que utilizan las niñas y los niños de Puerto Rico que son producidos y elaborados en otros países del mundo (dependencia). 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color w:val="000000"/>
                <w:lang w:eastAsia="es-PR"/>
              </w:rPr>
              <w:t>CG.2.6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Narra experiencias d</w:t>
            </w:r>
            <w:r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e niñas y niños que participan </w:t>
            </w: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en intercambios y en representación de Puerto Rico en otros países: deportes (pequeñas Ligas), música (coros, bandas, rondallas), danza y artes plásticas. 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color w:val="000000"/>
                <w:lang w:eastAsia="es-PR"/>
              </w:rPr>
              <w:t>CG.2.7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Ilustra con ejemplos concretos temas en los cuales es más evidente las conexiones de Puerto Rico con los países del Caribe: intercambio de productos, turismo, intercambio cultural, intercambio deportivo y confección de alimentos.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color w:val="000000"/>
                <w:lang w:eastAsia="es-PR"/>
              </w:rPr>
              <w:t>CG.2.8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Discute en torno a los derechos fundame</w:t>
            </w:r>
            <w:r>
              <w:rPr>
                <w:rFonts w:ascii="Calibri" w:eastAsia="Times New Roman" w:hAnsi="Calibri" w:cs="Times New Roman"/>
                <w:color w:val="000000"/>
                <w:lang w:eastAsia="es-PR"/>
              </w:rPr>
              <w:t>ntales de las niñas y los niños</w:t>
            </w: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 en todas las partes del mundo.</w:t>
            </w:r>
          </w:p>
        </w:tc>
        <w:tc>
          <w:tcPr>
            <w:tcW w:w="794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90"/>
        </w:trPr>
        <w:tc>
          <w:tcPr>
            <w:tcW w:w="1542" w:type="dxa"/>
            <w:shd w:val="clear" w:color="000000" w:fill="BFBFBF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>Estándar 8:</w:t>
            </w:r>
          </w:p>
        </w:tc>
        <w:tc>
          <w:tcPr>
            <w:tcW w:w="12569" w:type="dxa"/>
            <w:shd w:val="clear" w:color="000000" w:fill="BFBFBF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PR"/>
              </w:rPr>
              <w:t xml:space="preserve">SOCIEDAD CIENTÍFICA Y TECNOLÓGICA 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000000" w:fill="F2F2F2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12569" w:type="dxa"/>
            <w:shd w:val="clear" w:color="000000" w:fill="F2F2F2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Explica cómo el conocimiento integrado que proporcionan las ciencias sociales, las ciencias naturales y la tecnología ayudan al desarrollo y adelanto de la sociedad y al progreso colectivo.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000000" w:fill="F2F2F2"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bCs/>
                <w:i/>
                <w:iCs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bCs/>
                <w:i/>
                <w:iCs/>
                <w:color w:val="000000"/>
                <w:lang w:eastAsia="es-PR"/>
              </w:rPr>
              <w:t>SCT.2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El </w:t>
            </w:r>
            <w:r>
              <w:rPr>
                <w:rFonts w:ascii="Calibri" w:eastAsia="Times New Roman" w:hAnsi="Calibri" w:cs="Times New Roman"/>
                <w:color w:val="000000"/>
                <w:lang w:eastAsia="es-PR"/>
              </w:rPr>
              <w:t xml:space="preserve">estudiante es capaz de evaluar </w:t>
            </w: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el impacto que producen los cambios científicos y tecnológicos ocurridos en la vida y la sociedad a través del tiempo y en diversos contextos.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46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color w:val="000000"/>
                <w:lang w:eastAsia="es-PR"/>
              </w:rPr>
              <w:t>SCT.2.1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Utiliza términos y conceptos propios del entorno como espacio natural: familia, plantas, árboles, vegetales, frutas, flores, alimentos, nutritivos.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color w:val="000000"/>
                <w:lang w:eastAsia="es-PR"/>
              </w:rPr>
              <w:t>SCT.2.2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Plantea a la tecnología como los instrumentos que se usan para desarrollar tareas.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color w:val="000000"/>
                <w:lang w:eastAsia="es-PR"/>
              </w:rPr>
              <w:t>SCT.2.3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Presenta ejemplos de cómo en la comunidad utilizan la tecnología para resolver problemas: alumbrado eléctrico, avenidas y parques públicos, semáforos para evitar accidentes, ascensores para subir a pisos altos.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color w:val="000000"/>
                <w:lang w:eastAsia="es-PR"/>
              </w:rPr>
              <w:t>SCT.2.4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Narra formas en las que la comunidad hace buen uso de los recursos naturales: desarrollo de huertos comunitarios, podar árboles (no talar), sembrar y mantener áreas verdes entre otros.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color w:val="000000"/>
                <w:lang w:eastAsia="es-PR"/>
              </w:rPr>
              <w:t>SCT.2.5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Compara y contrasta cambios que se han dado en su hogar, en la escuela y en la comunidad al utilizar nueva tecnología: radio, televisores, enseres eléctricos, celular, videojuegos, computadora.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color w:val="000000"/>
                <w:lang w:eastAsia="es-PR"/>
              </w:rPr>
              <w:t>SCT.2.6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Discute en torno a prácticas y comportamientos dirigidos al uso apropiado y manejo responsable de la tecnología: establecer el control del tiempo en su uso y la utilización responsable para realizar tareas.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color w:val="000000"/>
                <w:lang w:eastAsia="es-PR"/>
              </w:rPr>
              <w:t>SCT.2.7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Utiliza diversos tipos de instrumentos electrónicos para desarrollar destrezas y adquirir conocimiento.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601"/>
        </w:trPr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E73B6E" w:rsidRPr="00280FA8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280FA8">
              <w:rPr>
                <w:rFonts w:ascii="Calibri" w:eastAsia="Times New Roman" w:hAnsi="Calibri" w:cs="Times New Roman"/>
                <w:color w:val="000000"/>
                <w:lang w:eastAsia="es-PR"/>
              </w:rPr>
              <w:t>SCT.2.8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Desarrolla experiencias en las que utiliza la tecnología para estudiar, investigar, presentar un tema para la búsqueda de imágenes que ilustran un contenido.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735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E73B6E" w:rsidRPr="00F91CB8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F91CB8">
              <w:rPr>
                <w:rFonts w:ascii="Calibri" w:eastAsia="Times New Roman" w:hAnsi="Calibri" w:cs="Times New Roman"/>
                <w:color w:val="000000"/>
                <w:lang w:eastAsia="es-PR"/>
              </w:rPr>
              <w:t>X</w:t>
            </w: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Número de indicadores por trimestre</w:t>
            </w:r>
          </w:p>
        </w:tc>
        <w:tc>
          <w:tcPr>
            <w:tcW w:w="1529" w:type="dxa"/>
            <w:gridSpan w:val="2"/>
            <w:shd w:val="clear" w:color="000000" w:fill="F2DCDB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42</w:t>
            </w:r>
          </w:p>
        </w:tc>
        <w:tc>
          <w:tcPr>
            <w:tcW w:w="1470" w:type="dxa"/>
            <w:gridSpan w:val="2"/>
            <w:shd w:val="clear" w:color="000000" w:fill="EBF1DE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39</w:t>
            </w:r>
          </w:p>
        </w:tc>
        <w:tc>
          <w:tcPr>
            <w:tcW w:w="1635" w:type="dxa"/>
            <w:gridSpan w:val="2"/>
            <w:shd w:val="clear" w:color="000000" w:fill="DCE6F1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38</w:t>
            </w:r>
          </w:p>
        </w:tc>
      </w:tr>
      <w:tr w:rsidR="00E73B6E" w:rsidRPr="00E9149C" w:rsidTr="00F91CB8">
        <w:trPr>
          <w:trHeight w:val="300"/>
        </w:trPr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E73B6E" w:rsidRPr="00E9149C" w:rsidRDefault="00E73B6E" w:rsidP="00F91CB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 </w:t>
            </w:r>
          </w:p>
        </w:tc>
        <w:tc>
          <w:tcPr>
            <w:tcW w:w="12569" w:type="dxa"/>
            <w:shd w:val="clear" w:color="auto" w:fill="auto"/>
            <w:hideMark/>
          </w:tcPr>
          <w:p w:rsidR="00E73B6E" w:rsidRPr="00E9149C" w:rsidRDefault="00E73B6E" w:rsidP="00F91CB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b/>
                <w:bCs/>
                <w:color w:val="000000"/>
                <w:lang w:eastAsia="es-PR"/>
              </w:rPr>
              <w:t>Número de indicadores por unidad</w:t>
            </w:r>
          </w:p>
        </w:tc>
        <w:tc>
          <w:tcPr>
            <w:tcW w:w="794" w:type="dxa"/>
            <w:shd w:val="clear" w:color="000000" w:fill="F2F2F2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26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27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20</w:t>
            </w:r>
          </w:p>
        </w:tc>
        <w:tc>
          <w:tcPr>
            <w:tcW w:w="735" w:type="dxa"/>
            <w:shd w:val="clear" w:color="000000" w:fill="F2F2F2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20</w:t>
            </w:r>
          </w:p>
        </w:tc>
        <w:tc>
          <w:tcPr>
            <w:tcW w:w="885" w:type="dxa"/>
            <w:shd w:val="clear" w:color="000000" w:fill="F2F2F2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PR"/>
              </w:rPr>
              <w:t>20</w:t>
            </w:r>
          </w:p>
        </w:tc>
        <w:tc>
          <w:tcPr>
            <w:tcW w:w="750" w:type="dxa"/>
            <w:shd w:val="clear" w:color="000000" w:fill="F2F2F2"/>
            <w:noWrap/>
            <w:vAlign w:val="center"/>
            <w:hideMark/>
          </w:tcPr>
          <w:p w:rsidR="00E73B6E" w:rsidRPr="00E9149C" w:rsidRDefault="00E73B6E" w:rsidP="00F91C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PR"/>
              </w:rPr>
            </w:pPr>
            <w:r w:rsidRPr="00E9149C">
              <w:rPr>
                <w:rFonts w:ascii="Calibri" w:eastAsia="Times New Roman" w:hAnsi="Calibri" w:cs="Times New Roman"/>
                <w:color w:val="000000"/>
                <w:lang w:eastAsia="es-PR"/>
              </w:rPr>
              <w:t>18</w:t>
            </w:r>
          </w:p>
        </w:tc>
      </w:tr>
    </w:tbl>
    <w:p w:rsidR="00E9149C" w:rsidRDefault="00E9149C" w:rsidP="00E9149C">
      <w:pPr>
        <w:spacing w:after="0"/>
      </w:pPr>
    </w:p>
    <w:sectPr w:rsidR="00E9149C" w:rsidSect="00E9149C"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49C"/>
    <w:rsid w:val="000F7281"/>
    <w:rsid w:val="00280FA8"/>
    <w:rsid w:val="005F7E23"/>
    <w:rsid w:val="00762791"/>
    <w:rsid w:val="00D15BD3"/>
    <w:rsid w:val="00E73B6E"/>
    <w:rsid w:val="00E9149C"/>
    <w:rsid w:val="00F91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F2E657-2424-4124-A784-A69E3A9BF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F728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F7281"/>
    <w:rPr>
      <w:color w:val="800080"/>
      <w:u w:val="single"/>
    </w:rPr>
  </w:style>
  <w:style w:type="paragraph" w:customStyle="1" w:styleId="font0">
    <w:name w:val="font0"/>
    <w:basedOn w:val="Normal"/>
    <w:rsid w:val="000F7281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lang w:eastAsia="es-PR"/>
    </w:rPr>
  </w:style>
  <w:style w:type="paragraph" w:customStyle="1" w:styleId="font5">
    <w:name w:val="font5"/>
    <w:basedOn w:val="Normal"/>
    <w:rsid w:val="000F7281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36"/>
      <w:szCs w:val="36"/>
      <w:lang w:eastAsia="es-PR"/>
    </w:rPr>
  </w:style>
  <w:style w:type="paragraph" w:customStyle="1" w:styleId="font6">
    <w:name w:val="font6"/>
    <w:basedOn w:val="Normal"/>
    <w:rsid w:val="000F7281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32"/>
      <w:szCs w:val="32"/>
      <w:lang w:eastAsia="es-PR"/>
    </w:rPr>
  </w:style>
  <w:style w:type="paragraph" w:customStyle="1" w:styleId="font7">
    <w:name w:val="font7"/>
    <w:basedOn w:val="Normal"/>
    <w:rsid w:val="000F7281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i/>
      <w:iCs/>
      <w:color w:val="000000"/>
      <w:lang w:eastAsia="es-PR"/>
    </w:rPr>
  </w:style>
  <w:style w:type="paragraph" w:customStyle="1" w:styleId="xl63">
    <w:name w:val="xl63"/>
    <w:basedOn w:val="Normal"/>
    <w:rsid w:val="000F728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64">
    <w:name w:val="xl64"/>
    <w:basedOn w:val="Normal"/>
    <w:rsid w:val="000F728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65">
    <w:name w:val="xl65"/>
    <w:basedOn w:val="Normal"/>
    <w:rsid w:val="000F7281"/>
    <w:pPr>
      <w:shd w:val="clear" w:color="000000" w:fill="BFBFB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66">
    <w:name w:val="xl66"/>
    <w:basedOn w:val="Normal"/>
    <w:rsid w:val="000F7281"/>
    <w:pP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67">
    <w:name w:val="xl67"/>
    <w:basedOn w:val="Normal"/>
    <w:rsid w:val="000F72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68">
    <w:name w:val="xl68"/>
    <w:basedOn w:val="Normal"/>
    <w:rsid w:val="000F72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69">
    <w:name w:val="xl69"/>
    <w:basedOn w:val="Normal"/>
    <w:rsid w:val="000F72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70">
    <w:name w:val="xl70"/>
    <w:basedOn w:val="Normal"/>
    <w:rsid w:val="000F72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71">
    <w:name w:val="xl71"/>
    <w:basedOn w:val="Normal"/>
    <w:rsid w:val="000F7281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72">
    <w:name w:val="xl72"/>
    <w:basedOn w:val="Normal"/>
    <w:rsid w:val="000F72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73">
    <w:name w:val="xl73"/>
    <w:basedOn w:val="Normal"/>
    <w:rsid w:val="000F72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74">
    <w:name w:val="xl74"/>
    <w:basedOn w:val="Normal"/>
    <w:rsid w:val="000F7281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PR"/>
    </w:rPr>
  </w:style>
  <w:style w:type="paragraph" w:customStyle="1" w:styleId="xl75">
    <w:name w:val="xl75"/>
    <w:basedOn w:val="Normal"/>
    <w:rsid w:val="000F72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PR"/>
    </w:rPr>
  </w:style>
  <w:style w:type="paragraph" w:customStyle="1" w:styleId="xl76">
    <w:name w:val="xl76"/>
    <w:basedOn w:val="Normal"/>
    <w:rsid w:val="000F72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77">
    <w:name w:val="xl77"/>
    <w:basedOn w:val="Normal"/>
    <w:rsid w:val="000F72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78">
    <w:name w:val="xl78"/>
    <w:basedOn w:val="Normal"/>
    <w:rsid w:val="000F72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79">
    <w:name w:val="xl79"/>
    <w:basedOn w:val="Normal"/>
    <w:rsid w:val="000F72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80">
    <w:name w:val="xl80"/>
    <w:basedOn w:val="Normal"/>
    <w:rsid w:val="000F72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es-PR"/>
    </w:rPr>
  </w:style>
  <w:style w:type="paragraph" w:customStyle="1" w:styleId="xl81">
    <w:name w:val="xl81"/>
    <w:basedOn w:val="Normal"/>
    <w:rsid w:val="000F7281"/>
    <w:pP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es-PR"/>
    </w:rPr>
  </w:style>
  <w:style w:type="paragraph" w:customStyle="1" w:styleId="xl82">
    <w:name w:val="xl82"/>
    <w:basedOn w:val="Normal"/>
    <w:rsid w:val="000F72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83">
    <w:name w:val="xl83"/>
    <w:basedOn w:val="Normal"/>
    <w:rsid w:val="000F72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84">
    <w:name w:val="xl84"/>
    <w:basedOn w:val="Normal"/>
    <w:rsid w:val="000F72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85">
    <w:name w:val="xl85"/>
    <w:basedOn w:val="Normal"/>
    <w:rsid w:val="000F72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86">
    <w:name w:val="xl86"/>
    <w:basedOn w:val="Normal"/>
    <w:rsid w:val="000F728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87">
    <w:name w:val="xl87"/>
    <w:basedOn w:val="Normal"/>
    <w:rsid w:val="000F7281"/>
    <w:pPr>
      <w:pBdr>
        <w:top w:val="single" w:sz="4" w:space="0" w:color="auto"/>
        <w:left w:val="single" w:sz="4" w:space="0" w:color="auto"/>
      </w:pBdr>
      <w:shd w:val="clear" w:color="000000" w:fill="BFBFB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88">
    <w:name w:val="xl88"/>
    <w:basedOn w:val="Normal"/>
    <w:rsid w:val="000F7281"/>
    <w:pPr>
      <w:pBdr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89">
    <w:name w:val="xl89"/>
    <w:basedOn w:val="Normal"/>
    <w:rsid w:val="000F72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es-PR"/>
    </w:rPr>
  </w:style>
  <w:style w:type="paragraph" w:customStyle="1" w:styleId="xl90">
    <w:name w:val="xl90"/>
    <w:basedOn w:val="Normal"/>
    <w:rsid w:val="000F728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es-PR"/>
    </w:rPr>
  </w:style>
  <w:style w:type="paragraph" w:customStyle="1" w:styleId="xl91">
    <w:name w:val="xl91"/>
    <w:basedOn w:val="Normal"/>
    <w:rsid w:val="000F72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es-PR"/>
    </w:rPr>
  </w:style>
  <w:style w:type="paragraph" w:customStyle="1" w:styleId="xl92">
    <w:name w:val="xl92"/>
    <w:basedOn w:val="Normal"/>
    <w:rsid w:val="000F7281"/>
    <w:pPr>
      <w:pBdr>
        <w:top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8"/>
      <w:szCs w:val="28"/>
      <w:lang w:eastAsia="es-PR"/>
    </w:rPr>
  </w:style>
  <w:style w:type="paragraph" w:customStyle="1" w:styleId="xl93">
    <w:name w:val="xl93"/>
    <w:basedOn w:val="Normal"/>
    <w:rsid w:val="000F7281"/>
    <w:pPr>
      <w:pBdr>
        <w:top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8"/>
      <w:szCs w:val="28"/>
      <w:lang w:eastAsia="es-PR"/>
    </w:rPr>
  </w:style>
  <w:style w:type="paragraph" w:customStyle="1" w:styleId="xl94">
    <w:name w:val="xl94"/>
    <w:basedOn w:val="Normal"/>
    <w:rsid w:val="000F7281"/>
    <w:pPr>
      <w:pBdr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es-PR"/>
    </w:rPr>
  </w:style>
  <w:style w:type="paragraph" w:customStyle="1" w:styleId="xl95">
    <w:name w:val="xl95"/>
    <w:basedOn w:val="Normal"/>
    <w:rsid w:val="000F7281"/>
    <w:pPr>
      <w:pBdr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es-PR"/>
    </w:rPr>
  </w:style>
  <w:style w:type="paragraph" w:customStyle="1" w:styleId="xl96">
    <w:name w:val="xl96"/>
    <w:basedOn w:val="Normal"/>
    <w:rsid w:val="000F7281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36"/>
      <w:szCs w:val="36"/>
      <w:lang w:eastAsia="es-PR"/>
    </w:rPr>
  </w:style>
  <w:style w:type="paragraph" w:customStyle="1" w:styleId="xl97">
    <w:name w:val="xl97"/>
    <w:basedOn w:val="Normal"/>
    <w:rsid w:val="000F72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36"/>
      <w:szCs w:val="36"/>
      <w:lang w:eastAsia="es-PR"/>
    </w:rPr>
  </w:style>
  <w:style w:type="paragraph" w:customStyle="1" w:styleId="xl98">
    <w:name w:val="xl98"/>
    <w:basedOn w:val="Normal"/>
    <w:rsid w:val="000F72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99">
    <w:name w:val="xl99"/>
    <w:basedOn w:val="Normal"/>
    <w:rsid w:val="000F72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100">
    <w:name w:val="xl100"/>
    <w:basedOn w:val="Normal"/>
    <w:rsid w:val="000F72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BF1D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101">
    <w:name w:val="xl101"/>
    <w:basedOn w:val="Normal"/>
    <w:rsid w:val="000F72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102">
    <w:name w:val="xl102"/>
    <w:basedOn w:val="Normal"/>
    <w:rsid w:val="000F72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CE6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customStyle="1" w:styleId="xl103">
    <w:name w:val="xl103"/>
    <w:basedOn w:val="Normal"/>
    <w:rsid w:val="000F72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P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99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5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ANEQXYWM5PSU-30-1300</_dlc_DocId>
    <_dlc_DocIdUrl xmlns="52ebaa95-055a-40f0-9bd5-856e088a933c">
      <Url>http://de-moss-002/_layouts/DocIdRedir.aspx?ID=ANEQXYWM5PSU-30-1300</Url>
      <Description>ANEQXYWM5PSU-30-1300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6CF3659-1DFE-4E95-A260-545E7324CEBE}"/>
</file>

<file path=customXml/itemProps2.xml><?xml version="1.0" encoding="utf-8"?>
<ds:datastoreItem xmlns:ds="http://schemas.openxmlformats.org/officeDocument/2006/customXml" ds:itemID="{77E2A90A-F3C0-4DDA-9299-83F6D0C8A420}"/>
</file>

<file path=customXml/itemProps3.xml><?xml version="1.0" encoding="utf-8"?>
<ds:datastoreItem xmlns:ds="http://schemas.openxmlformats.org/officeDocument/2006/customXml" ds:itemID="{2745548B-62F8-4E36-8D0F-EC37AAA16A5B}"/>
</file>

<file path=customXml/itemProps4.xml><?xml version="1.0" encoding="utf-8"?>
<ds:datastoreItem xmlns:ds="http://schemas.openxmlformats.org/officeDocument/2006/customXml" ds:itemID="{A6F6E35F-3A7F-46A9-B46C-B121D9D132BB}"/>
</file>

<file path=customXml/itemProps5.xml><?xml version="1.0" encoding="utf-8"?>
<ds:datastoreItem xmlns:ds="http://schemas.openxmlformats.org/officeDocument/2006/customXml" ds:itemID="{9FDA13CB-311B-4FF1-9BC7-7D545290F2F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12</Pages>
  <Words>5517</Words>
  <Characters>30347</Characters>
  <Application>Microsoft Office Word</Application>
  <DocSecurity>0</DocSecurity>
  <Lines>252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Morro</dc:creator>
  <cp:keywords/>
  <dc:description/>
  <cp:lastModifiedBy>Beverly Morro</cp:lastModifiedBy>
  <cp:revision>4</cp:revision>
  <dcterms:created xsi:type="dcterms:W3CDTF">2015-07-17T19:11:00Z</dcterms:created>
  <dcterms:modified xsi:type="dcterms:W3CDTF">2015-07-20T12:42:00Z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fb4a784d-4b02-492b-8b09-23cda704d3ad</vt:lpwstr>
  </property>
</Properties>
</file>